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684CB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29030" cy="1050925"/>
            <wp:effectExtent l="0" t="0" r="13970" b="1587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E897E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66C0B2F">
      <w:pPr>
        <w:pStyle w:val="2"/>
        <w:spacing w:before="287" w:line="193" w:lineRule="auto"/>
        <w:ind w:left="553"/>
        <w:rPr>
          <w:sz w:val="27"/>
          <w:szCs w:val="27"/>
        </w:rPr>
      </w:pPr>
      <w:r>
        <w:rPr>
          <w:b/>
          <w:bCs/>
          <w:sz w:val="27"/>
          <w:szCs w:val="27"/>
        </w:rPr>
        <w:t>EGFR</w:t>
      </w:r>
      <w:r>
        <w:rPr>
          <w:b/>
          <w:bCs/>
          <w:spacing w:val="16"/>
          <w:sz w:val="27"/>
          <w:szCs w:val="27"/>
        </w:rPr>
        <w:t xml:space="preserve"> (</w:t>
      </w:r>
      <w:r>
        <w:rPr>
          <w:b/>
          <w:bCs/>
          <w:sz w:val="27"/>
          <w:szCs w:val="27"/>
        </w:rPr>
        <w:t>vIII</w:t>
      </w:r>
      <w:r>
        <w:rPr>
          <w:b/>
          <w:bCs/>
          <w:spacing w:val="16"/>
          <w:sz w:val="27"/>
          <w:szCs w:val="27"/>
        </w:rPr>
        <w:t>)</w:t>
      </w:r>
    </w:p>
    <w:p w14:paraId="41E995BA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26176</w:t>
      </w:r>
    </w:p>
    <w:p w14:paraId="3C7E5931">
      <w:pPr>
        <w:pStyle w:val="2"/>
        <w:spacing w:before="121" w:line="190" w:lineRule="auto"/>
        <w:ind w:left="556"/>
      </w:pPr>
      <w:r>
        <w:rPr>
          <w:b/>
          <w:bCs/>
        </w:rPr>
        <w:t xml:space="preserve">Gene Symbol: </w:t>
      </w:r>
      <w:r>
        <w:t>EGFR/HE</w:t>
      </w:r>
      <w:r>
        <w:rPr>
          <w:spacing w:val="-1"/>
        </w:rPr>
        <w:t>R1/ERBB1</w:t>
      </w:r>
    </w:p>
    <w:p w14:paraId="0FDB2098">
      <w:pPr>
        <w:pStyle w:val="2"/>
        <w:spacing w:before="55" w:line="276" w:lineRule="exact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  <w:position w:val="3"/>
        </w:rPr>
        <w:t xml:space="preserve">Description: </w:t>
      </w:r>
      <w:r>
        <w:rPr>
          <w:position w:val="3"/>
        </w:rPr>
        <w:t>Anti-EGFR (vIII) Mouse Monoclonal</w:t>
      </w:r>
      <w:r>
        <w:rPr>
          <w:spacing w:val="-10"/>
          <w:position w:val="3"/>
        </w:rPr>
        <w:t xml:space="preserve"> </w:t>
      </w:r>
      <w:r>
        <w:rPr>
          <w:position w:val="3"/>
        </w:rPr>
        <w:t>Antib</w:t>
      </w:r>
      <w:r>
        <w:rPr>
          <w:spacing w:val="-1"/>
          <w:position w:val="3"/>
        </w:rPr>
        <w:t>ody</w:t>
      </w:r>
    </w:p>
    <w:p w14:paraId="275AB3E8">
      <w:pPr>
        <w:spacing w:before="28"/>
      </w:pPr>
    </w:p>
    <w:p w14:paraId="628C9056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82889C8">
      <w:pPr>
        <w:pStyle w:val="2"/>
        <w:spacing w:before="55" w:line="276" w:lineRule="exact"/>
        <w:ind w:left="551"/>
      </w:pPr>
      <w:r>
        <w:rPr>
          <w:b/>
          <w:bCs/>
          <w:position w:val="3"/>
        </w:rPr>
        <w:t xml:space="preserve">Background: </w:t>
      </w:r>
      <w:r>
        <w:rPr>
          <w:position w:val="3"/>
        </w:rPr>
        <w:t>EGFR is a receptor t</w:t>
      </w:r>
      <w:r>
        <w:rPr>
          <w:spacing w:val="-1"/>
          <w:position w:val="3"/>
        </w:rPr>
        <w:t>yrosine</w:t>
      </w:r>
    </w:p>
    <w:p w14:paraId="3E89B366">
      <w:pPr>
        <w:pStyle w:val="2"/>
        <w:spacing w:before="36" w:line="298" w:lineRule="auto"/>
        <w:ind w:left="554" w:right="539" w:hanging="5"/>
      </w:pPr>
      <w:r>
        <w:t>kinase</w:t>
      </w:r>
      <w:r>
        <w:rPr>
          <w:spacing w:val="8"/>
        </w:rPr>
        <w:t xml:space="preserve"> </w:t>
      </w:r>
      <w:r>
        <w:t>binding</w:t>
      </w:r>
      <w:r>
        <w:rPr>
          <w:spacing w:val="8"/>
        </w:rPr>
        <w:t xml:space="preserve"> </w:t>
      </w:r>
      <w:r>
        <w:t>ligands</w:t>
      </w:r>
      <w:r>
        <w:rPr>
          <w:spacing w:val="8"/>
        </w:rPr>
        <w:t xml:space="preserve"> </w:t>
      </w:r>
      <w:r>
        <w:t>ofthe</w:t>
      </w:r>
      <w:r>
        <w:rPr>
          <w:spacing w:val="8"/>
        </w:rPr>
        <w:t xml:space="preserve"> </w:t>
      </w:r>
      <w:r>
        <w:t>EGF</w:t>
      </w:r>
      <w:r>
        <w:rPr>
          <w:spacing w:val="8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t>and    activating several signaling casc</w:t>
      </w:r>
      <w:r>
        <w:rPr>
          <w:spacing w:val="-1"/>
        </w:rPr>
        <w:t>ades to</w:t>
      </w:r>
      <w:r>
        <w:rPr>
          <w:spacing w:val="6"/>
        </w:rPr>
        <w:t xml:space="preserve"> </w:t>
      </w:r>
      <w:r>
        <w:rPr>
          <w:spacing w:val="-1"/>
        </w:rPr>
        <w:t>convert</w:t>
      </w:r>
      <w:r>
        <w:t xml:space="preserve"> extracellular cues into appropriate ce</w:t>
      </w:r>
      <w:r>
        <w:rPr>
          <w:spacing w:val="-1"/>
        </w:rPr>
        <w:t>llular</w:t>
      </w:r>
    </w:p>
    <w:p w14:paraId="7A3A4D53">
      <w:pPr>
        <w:pStyle w:val="2"/>
        <w:spacing w:before="35" w:line="276" w:lineRule="exact"/>
        <w:ind w:left="548"/>
      </w:pPr>
      <w:r>
        <w:rPr>
          <w:position w:val="3"/>
        </w:rPr>
        <w:t>responses. It activates at</w:t>
      </w:r>
      <w:r>
        <w:rPr>
          <w:spacing w:val="6"/>
          <w:position w:val="3"/>
        </w:rPr>
        <w:t xml:space="preserve"> </w:t>
      </w:r>
      <w:r>
        <w:rPr>
          <w:position w:val="3"/>
        </w:rPr>
        <w:t>le</w:t>
      </w:r>
      <w:r>
        <w:rPr>
          <w:spacing w:val="-1"/>
          <w:position w:val="3"/>
        </w:rPr>
        <w:t>ast 4</w:t>
      </w:r>
      <w:r>
        <w:rPr>
          <w:spacing w:val="2"/>
          <w:position w:val="3"/>
        </w:rPr>
        <w:t xml:space="preserve"> </w:t>
      </w:r>
      <w:r>
        <w:rPr>
          <w:spacing w:val="-1"/>
          <w:position w:val="3"/>
        </w:rPr>
        <w:t>major</w:t>
      </w:r>
    </w:p>
    <w:p w14:paraId="6F54B80B">
      <w:pPr>
        <w:pStyle w:val="2"/>
        <w:spacing w:before="37" w:line="297" w:lineRule="auto"/>
        <w:ind w:left="551" w:right="731" w:firstLine="3"/>
      </w:pPr>
      <w:r>
        <w:t>downstream signaling cascades includ</w:t>
      </w:r>
      <w:r>
        <w:rPr>
          <w:spacing w:val="-1"/>
        </w:rPr>
        <w:t>ing the</w:t>
      </w:r>
      <w:r>
        <w:t xml:space="preserve"> RAS-RAF-MEK-ERK, PI3 kinase-</w:t>
      </w:r>
      <w:r>
        <w:rPr>
          <w:spacing w:val="-1"/>
        </w:rPr>
        <w:t>AKT,</w:t>
      </w:r>
    </w:p>
    <w:p w14:paraId="64F40AB7">
      <w:pPr>
        <w:pStyle w:val="2"/>
        <w:spacing w:before="26" w:line="292" w:lineRule="auto"/>
        <w:ind w:left="553" w:right="572" w:hanging="2"/>
      </w:pPr>
      <w:r>
        <w:rPr>
          <w:spacing w:val="-2"/>
        </w:rPr>
        <w:t>PLCgamma-PKC and</w:t>
      </w:r>
      <w:r>
        <w:rPr>
          <w:spacing w:val="15"/>
          <w:w w:val="101"/>
        </w:rPr>
        <w:t xml:space="preserve"> </w:t>
      </w:r>
      <w:r>
        <w:rPr>
          <w:spacing w:val="-2"/>
        </w:rPr>
        <w:t>STATs modules. Defects</w:t>
      </w:r>
      <w:r>
        <w:t xml:space="preserve"> in EGFR are associated with</w:t>
      </w:r>
      <w:r>
        <w:rPr>
          <w:spacing w:val="-1"/>
        </w:rPr>
        <w:t xml:space="preserve"> lung</w:t>
      </w:r>
      <w:r>
        <w:rPr>
          <w:spacing w:val="6"/>
        </w:rPr>
        <w:t xml:space="preserve"> </w:t>
      </w:r>
      <w:r>
        <w:rPr>
          <w:spacing w:val="-1"/>
        </w:rPr>
        <w:t>cancer</w:t>
      </w:r>
    </w:p>
    <w:p w14:paraId="546350F5">
      <w:pPr>
        <w:pStyle w:val="2"/>
        <w:spacing w:before="102" w:line="190" w:lineRule="auto"/>
        <w:ind w:left="556"/>
      </w:pPr>
      <w:r>
        <w:rPr>
          <w:spacing w:val="1"/>
        </w:rPr>
        <w:t>(</w:t>
      </w:r>
      <w:r>
        <w:t>NSCLC</w:t>
      </w:r>
      <w:r>
        <w:rPr>
          <w:spacing w:val="1"/>
        </w:rPr>
        <w:t>).</w:t>
      </w:r>
    </w:p>
    <w:p w14:paraId="59C5B78E">
      <w:pPr>
        <w:pStyle w:val="2"/>
        <w:spacing w:before="55" w:line="298" w:lineRule="auto"/>
        <w:ind w:left="549" w:right="847" w:firstLine="2"/>
      </w:pPr>
      <w:r>
        <w:rPr>
          <w:b/>
          <w:bCs/>
        </w:rPr>
        <w:t>Immunogen:</w:t>
      </w:r>
      <w:r>
        <w:rPr>
          <w:b/>
          <w:bCs/>
          <w:spacing w:val="-9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 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EGFR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mutation</w:t>
      </w:r>
      <w:r>
        <w:rPr>
          <w:spacing w:val="3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vIII</w:t>
      </w:r>
      <w:r>
        <w:rPr>
          <w:spacing w:val="3"/>
        </w:rPr>
        <w:t xml:space="preserve">, </w:t>
      </w:r>
      <w:r>
        <w:t>human</w:t>
      </w:r>
      <w:r>
        <w:rPr>
          <w:spacing w:val="3"/>
        </w:rPr>
        <w:t xml:space="preserve"> </w:t>
      </w:r>
      <w:r>
        <w:t>origin</w:t>
      </w:r>
      <w:r>
        <w:rPr>
          <w:spacing w:val="3"/>
        </w:rPr>
        <w:t>.</w:t>
      </w:r>
    </w:p>
    <w:p w14:paraId="71CFF261">
      <w:pPr>
        <w:pStyle w:val="2"/>
        <w:spacing w:before="106" w:line="292" w:lineRule="auto"/>
        <w:ind w:left="551" w:right="910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</w:t>
      </w:r>
      <w:r>
        <w:rPr>
          <w:spacing w:val="-2"/>
        </w:rPr>
        <w:t>, IF, 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5185D3E7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32B8323F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1:1000-1:5000</w:t>
      </w:r>
    </w:p>
    <w:p w14:paraId="588775C6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280BE4CC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4D4AC1D0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3FC9D81C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00634290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7B8A0002">
      <w:pPr>
        <w:pStyle w:val="2"/>
        <w:spacing w:before="102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3D28B795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0FA92D79">
      <w:pPr>
        <w:pStyle w:val="2"/>
        <w:spacing w:before="55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713BEE73">
      <w:pPr>
        <w:pStyle w:val="2"/>
        <w:spacing w:before="36" w:line="292" w:lineRule="auto"/>
        <w:ind w:left="548" w:right="345" w:firstLine="9"/>
      </w:pPr>
      <w:r>
        <w:rPr>
          <w:b/>
          <w:bCs/>
        </w:rPr>
        <w:t xml:space="preserve">Species Reactivity: </w:t>
      </w:r>
      <w:r>
        <w:t>Recognizes EGFR (</w:t>
      </w:r>
      <w:r>
        <w:rPr>
          <w:spacing w:val="-1"/>
        </w:rPr>
        <w:t>vIII), but</w:t>
      </w:r>
      <w:r>
        <w:t xml:space="preserve"> not wild type EGFR from vertebrat</w:t>
      </w:r>
      <w:r>
        <w:rPr>
          <w:spacing w:val="-1"/>
        </w:rPr>
        <w:t>es.</w:t>
      </w:r>
    </w:p>
    <w:p w14:paraId="1C631720">
      <w:pPr>
        <w:pStyle w:val="2"/>
        <w:spacing w:before="103" w:line="259" w:lineRule="auto"/>
        <w:ind w:left="555" w:right="87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0A1B3706">
      <w:pPr>
        <w:spacing w:line="55" w:lineRule="exact"/>
      </w:pPr>
    </w:p>
    <w:p w14:paraId="492CF2E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57AB497">
      <w:pPr>
        <w:pStyle w:val="2"/>
        <w:spacing w:before="151" w:line="183" w:lineRule="auto"/>
      </w:pPr>
      <w:r>
        <w:rPr>
          <w:b/>
          <w:bCs/>
          <w:spacing w:val="-1"/>
        </w:rPr>
        <w:t>Western blot:</w:t>
      </w:r>
    </w:p>
    <w:p w14:paraId="1258B41C">
      <w:pPr>
        <w:spacing w:line="249" w:lineRule="auto"/>
        <w:rPr>
          <w:rFonts w:ascii="Arial"/>
          <w:sz w:val="21"/>
        </w:rPr>
      </w:pPr>
    </w:p>
    <w:p w14:paraId="396F2CF5">
      <w:pPr>
        <w:spacing w:before="1" w:line="2682" w:lineRule="exact"/>
        <w:ind w:firstLine="1171"/>
      </w:pPr>
      <w:r>
        <w:rPr>
          <w:position w:val="-53"/>
        </w:rPr>
        <w:drawing>
          <wp:inline distT="0" distB="0" distL="0" distR="0">
            <wp:extent cx="1202055" cy="17030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2182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FBE0B">
      <w:pPr>
        <w:spacing w:line="248" w:lineRule="auto"/>
        <w:rPr>
          <w:rFonts w:ascii="Arial"/>
          <w:sz w:val="21"/>
        </w:rPr>
      </w:pPr>
    </w:p>
    <w:p w14:paraId="69FB303C">
      <w:pPr>
        <w:pStyle w:val="2"/>
        <w:spacing w:before="61" w:line="275" w:lineRule="auto"/>
        <w:ind w:left="6" w:right="917" w:hanging="6"/>
      </w:pPr>
      <w:r>
        <w:rPr>
          <w:b/>
          <w:bCs/>
        </w:rPr>
        <w:t>Western blot analysis of</w:t>
      </w:r>
      <w:r>
        <w:rPr>
          <w:b/>
          <w:bCs/>
          <w:spacing w:val="-1"/>
        </w:rPr>
        <w:t xml:space="preserve"> recombinant EGFR</w:t>
      </w:r>
      <w:r>
        <w:rPr>
          <w:b/>
          <w:bCs/>
        </w:rPr>
        <w:t xml:space="preserve"> (vIII) and wildtype protei</w:t>
      </w:r>
      <w:r>
        <w:rPr>
          <w:b/>
          <w:bCs/>
          <w:spacing w:val="-1"/>
        </w:rPr>
        <w:t xml:space="preserve">ns. </w:t>
      </w:r>
      <w:r>
        <w:rPr>
          <w:spacing w:val="-1"/>
        </w:rPr>
        <w:t>Purified</w:t>
      </w:r>
    </w:p>
    <w:p w14:paraId="0A56B57B">
      <w:pPr>
        <w:pStyle w:val="2"/>
        <w:spacing w:line="292" w:lineRule="auto"/>
        <w:ind w:left="5" w:right="880" w:hanging="3"/>
      </w:pPr>
      <w:r>
        <w:t>His-tagged EGFR (vIII) protein (aprtial, lan</w:t>
      </w:r>
      <w:r>
        <w:rPr>
          <w:spacing w:val="-1"/>
        </w:rPr>
        <w:t>e 2)</w:t>
      </w:r>
      <w:r>
        <w:t xml:space="preserve"> and corresponding wi</w:t>
      </w:r>
      <w:r>
        <w:rPr>
          <w:spacing w:val="-1"/>
        </w:rPr>
        <w:t>ld type protein (lane</w:t>
      </w:r>
      <w:r>
        <w:rPr>
          <w:spacing w:val="24"/>
          <w:w w:val="101"/>
        </w:rPr>
        <w:t xml:space="preserve"> </w:t>
      </w:r>
      <w:r>
        <w:rPr>
          <w:spacing w:val="-1"/>
        </w:rPr>
        <w:t>1)</w:t>
      </w:r>
    </w:p>
    <w:p w14:paraId="3992ED79">
      <w:pPr>
        <w:pStyle w:val="2"/>
        <w:spacing w:before="37" w:line="292" w:lineRule="auto"/>
        <w:ind w:right="1334"/>
      </w:pPr>
      <w:r>
        <w:t>were blotted with anti-EGFR (vIII) mouse monoclonal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 26176).</w:t>
      </w:r>
    </w:p>
    <w:p w14:paraId="0A893693">
      <w:pPr>
        <w:spacing w:line="292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7"/>
          </w:cols>
        </w:sectPr>
      </w:pPr>
    </w:p>
    <w:p w14:paraId="6FE034A1">
      <w:pPr>
        <w:spacing w:line="245" w:lineRule="auto"/>
        <w:rPr>
          <w:rFonts w:ascii="Arial"/>
          <w:sz w:val="21"/>
        </w:rPr>
      </w:pPr>
    </w:p>
    <w:p w14:paraId="6CFB2314">
      <w:pPr>
        <w:spacing w:line="245" w:lineRule="auto"/>
        <w:rPr>
          <w:rFonts w:ascii="Arial"/>
          <w:sz w:val="21"/>
        </w:rPr>
      </w:pPr>
    </w:p>
    <w:p w14:paraId="2C79EB68">
      <w:pPr>
        <w:spacing w:line="245" w:lineRule="auto"/>
        <w:rPr>
          <w:rFonts w:ascii="Arial"/>
          <w:sz w:val="21"/>
        </w:rPr>
      </w:pPr>
    </w:p>
    <w:p w14:paraId="116C6218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7A2BDF72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67267DB8">
      <w:pPr>
        <w:spacing w:line="118" w:lineRule="exact"/>
      </w:pPr>
    </w:p>
    <w:p w14:paraId="44801228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3DAF864">
      <w:pPr>
        <w:pStyle w:val="2"/>
        <w:spacing w:before="48" w:line="246" w:lineRule="auto"/>
        <w:ind w:left="230" w:right="1507" w:hanging="230"/>
      </w:pPr>
    </w:p>
    <w:p w14:paraId="5025C534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4B13F826">
      <w:pPr>
        <w:spacing w:line="1305" w:lineRule="exact"/>
        <w:ind w:firstLine="540"/>
      </w:pPr>
    </w:p>
    <w:p w14:paraId="0CE88381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9E04F9C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329E808C">
      <w:pPr>
        <w:spacing w:before="181" w:line="4440" w:lineRule="exact"/>
        <w:ind w:firstLine="613"/>
      </w:pPr>
      <w:r>
        <w:rPr>
          <w:position w:val="-88"/>
        </w:rPr>
        <w:drawing>
          <wp:inline distT="0" distB="0" distL="0" distR="0">
            <wp:extent cx="2627630" cy="28194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137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E558">
      <w:pPr>
        <w:pStyle w:val="2"/>
        <w:spacing w:before="182" w:line="275" w:lineRule="auto"/>
        <w:ind w:left="543" w:right="5338"/>
      </w:pPr>
      <w:r>
        <w:rPr>
          <w:b/>
          <w:bCs/>
        </w:rPr>
        <w:t>Immunofluorescence of cells expr</w:t>
      </w:r>
      <w:r>
        <w:rPr>
          <w:b/>
          <w:bCs/>
          <w:spacing w:val="-1"/>
        </w:rPr>
        <w:t>essing EGFR</w:t>
      </w:r>
      <w:r>
        <w:rPr>
          <w:b/>
          <w:bCs/>
        </w:rPr>
        <w:t xml:space="preserve"> proteins with anti-EGFR (vIII) a</w:t>
      </w:r>
      <w:r>
        <w:rPr>
          <w:b/>
          <w:bCs/>
          <w:spacing w:val="-1"/>
        </w:rPr>
        <w:t>ntibody.</w:t>
      </w:r>
    </w:p>
    <w:p w14:paraId="3AC825EC">
      <w:pPr>
        <w:pStyle w:val="2"/>
        <w:spacing w:line="276" w:lineRule="exact"/>
        <w:ind w:left="543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4546D4F4">
      <w:pPr>
        <w:pStyle w:val="2"/>
        <w:spacing w:before="36" w:line="292" w:lineRule="auto"/>
        <w:ind w:left="546" w:right="5242" w:hanging="7"/>
      </w:pPr>
      <w:r>
        <w:t>pCDNA3-GFP-EGFR (WT) plasmid (left column)</w:t>
      </w:r>
      <w:r>
        <w:rPr>
          <w:spacing w:val="8"/>
        </w:rPr>
        <w:t xml:space="preserve"> </w:t>
      </w:r>
      <w:r>
        <w:t>or pCDNA3-GFP-EGFR (vIII) plasmid</w:t>
      </w:r>
      <w:r>
        <w:rPr>
          <w:spacing w:val="-1"/>
        </w:rPr>
        <w:t xml:space="preserve"> (right</w:t>
      </w:r>
    </w:p>
    <w:p w14:paraId="2BAD7824">
      <w:pPr>
        <w:pStyle w:val="2"/>
        <w:spacing w:before="37" w:line="292" w:lineRule="auto"/>
        <w:ind w:left="548" w:right="5453" w:hanging="1"/>
      </w:pPr>
      <w:r>
        <w:t xml:space="preserve">column), then fixed and stained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anti-EGFR</w:t>
      </w:r>
      <w:r>
        <w:t xml:space="preserve"> (vIII) monoclonal antibody (Cat. #26176).</w:t>
      </w:r>
    </w:p>
    <w:p w14:paraId="3EE9DC8C">
      <w:pPr>
        <w:pStyle w:val="2"/>
        <w:spacing w:before="37" w:line="292" w:lineRule="auto"/>
        <w:ind w:left="548" w:right="5453" w:hanging="1"/>
      </w:pPr>
    </w:p>
    <w:p w14:paraId="7FA88F89">
      <w:pPr>
        <w:pStyle w:val="2"/>
        <w:spacing w:before="37" w:line="292" w:lineRule="auto"/>
        <w:ind w:left="548" w:right="5453" w:hanging="1"/>
      </w:pPr>
    </w:p>
    <w:p w14:paraId="169AA167">
      <w:pPr>
        <w:pStyle w:val="2"/>
        <w:spacing w:before="37" w:line="292" w:lineRule="auto"/>
        <w:ind w:left="548" w:right="5453" w:hanging="1"/>
      </w:pPr>
    </w:p>
    <w:p w14:paraId="79A14A0C">
      <w:pPr>
        <w:pStyle w:val="2"/>
        <w:spacing w:before="37" w:line="292" w:lineRule="auto"/>
        <w:ind w:left="548" w:right="5453" w:hanging="1"/>
      </w:pPr>
    </w:p>
    <w:p w14:paraId="0C0BF4B9">
      <w:pPr>
        <w:pStyle w:val="2"/>
        <w:spacing w:before="37" w:line="292" w:lineRule="auto"/>
        <w:ind w:left="548" w:right="5453" w:hanging="1"/>
      </w:pPr>
    </w:p>
    <w:p w14:paraId="7916DD17">
      <w:pPr>
        <w:pStyle w:val="2"/>
        <w:spacing w:before="37" w:line="292" w:lineRule="auto"/>
        <w:ind w:left="548" w:right="5453" w:hanging="1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6C49625">
      <w:pPr>
        <w:pStyle w:val="2"/>
        <w:spacing w:before="37" w:line="292" w:lineRule="auto"/>
        <w:ind w:left="548" w:right="5453" w:hanging="1"/>
      </w:pPr>
      <w:bookmarkStart w:id="0" w:name="_GoBack"/>
      <w:bookmarkEnd w:id="0"/>
    </w:p>
    <w:sectPr>
      <w:footerReference r:id="rId5" w:type="default"/>
      <w:pgSz w:w="11905" w:h="16840"/>
      <w:pgMar w:top="850" w:right="594" w:bottom="2073" w:left="1260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0EE57">
    <w:pPr>
      <w:spacing w:after="140" w:line="60" w:lineRule="exact"/>
    </w:pPr>
    <w:r>
      <w:rPr>
        <w:position w:val="-1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3243742C">
    <w:pPr>
      <w:spacing w:after="167" w:line="249" w:lineRule="exact"/>
      <w:ind w:left="206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9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Not for diagnostic or therapeutic applications.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57511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252</Words>
  <Characters>1627</Characters>
  <TotalTime>0</TotalTime>
  <ScaleCrop>false</ScaleCrop>
  <LinksUpToDate>false</LinksUpToDate>
  <CharactersWithSpaces>1871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2013-01-31T16:32:00Z</dcterms:created>
  <dc:creator>Limin Wang;詹焱程</dc:creator>
  <cp:keywords>26082</cp:keywords>
  <cp:lastModifiedBy>周亿福</cp:lastModifiedBy>
  <dcterms:modified xsi:type="dcterms:W3CDTF">2025-08-14T05:56:19Z</dcterms:modified>
  <dc:subject>Datesheet</dc:subject>
  <dc:title>EGFR（L858R）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2025-08-14T11:00:26Z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5EF589704200413C9A4EBBD309EE81C7_12</vt:lpwstr>
  </property>
</Properties>
</file>